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182 комбінованого типу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Бучми, 18-Г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7229D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07-014513-b" w:history="1">
        <w:r w:rsidR="007F73CF" w:rsidRPr="007F73CF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UA-2021-10-07-014513-b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7F73CF">
        <w:rPr>
          <w:rFonts w:ascii="Times New Roman" w:hAnsi="Times New Roman"/>
          <w:sz w:val="28"/>
          <w:szCs w:val="28"/>
        </w:rPr>
        <w:t>2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F73CF">
        <w:rPr>
          <w:rFonts w:ascii="Times New Roman" w:hAnsi="Times New Roman"/>
          <w:sz w:val="28"/>
          <w:szCs w:val="28"/>
        </w:rPr>
        <w:t>182 комбінованого типу</w:t>
      </w:r>
      <w:r w:rsidR="00FC193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7F73C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7F73CF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185 241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185 241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66A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4513-b-kapitalnyj-remont-dytyachoho-ihrovoho-majdanchyka-hrupy-2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2021-10-08T06:51:00Z</dcterms:modified>
</cp:coreProperties>
</file>